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Генетика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наука о закономерностях наследственности и изменчивости — экспериментальная область биологии, со своим особым арсеналом методов. 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Исторически наиболее ранним, но до сих пор актуальным, основополагающим методом генетики является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гибридологический метод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подразумевает </w:t>
      </w:r>
      <w:r w:rsidRPr="00B222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скрещивание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организмов с определенными признаками и анализ проявления этих признаков у потомства. Ранние гибридологические эксперименты часто проводились на растениях. Для скрещивания цветковых растений Йозефом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Кёльрёйтером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 разработан метод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полукастрации</w:t>
      </w:r>
      <w:proofErr w:type="spellEnd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цветков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заключается в удалении несозревших тычинок из нераскрывшегося бутона, чтобы предотвратить самоопыление; для предотвращения попадания чужеродной пыльцы на рыльце пестика на бутон надевают муслиновый или бумажный колпачок. Затем, когда цветок раскрывается и рыльце становится готовым для опыления, опыляют пыльцой нужного сорта и снова закрывают колпачком до созревания плодов. 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Генеалогический метод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долгоживущих организмов и организмов с малым числом потомков, а также для людей, гибридологический метод не применим. Вместо него применяется генеалогический метод — составление родословных с анализом наследования определенных признаков. Пример — известная родословная королевских семей Европы, отражающая наследование гемофилии А (рис. 1). </w:t>
      </w:r>
    </w:p>
    <w:p w:rsidR="00B222BF" w:rsidRPr="00B222BF" w:rsidRDefault="00B222BF" w:rsidP="00B222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60F11BB" wp14:editId="1840310B">
            <wp:extent cx="5645150" cy="2076450"/>
            <wp:effectExtent l="0" t="0" r="0" b="0"/>
            <wp:docPr id="3" name="Рисунок 3" descr="https://foxford.ru/uploads/tinymce_image/image/9599/%D0%B3%D0%B5%D0%BC%D0%BE%D1%84%D0%B8%D0%BB%D0%B8%D1%8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9599/%D0%B3%D0%B5%D0%BC%D0%BE%D1%84%D0%B8%D0%BB%D0%B8%D1%8F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Рис. 1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Близнецовый метод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 целью анализа вклада генотипа и окружающей среды в формирование фенотипа используют близнецовый метод.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Однояйцевые (монозиготные) близнецы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получаются в результате того, что уже после разделения оплодотворенной яйцеклетки на две (реже четыре) клетки эти клетки расходятся, и каждая из них превращается в отдельный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эмбрион(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2-1)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Разнояйцевые</w:t>
      </w:r>
      <w:proofErr w:type="spellEnd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(дизиготные) близнецы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появляются из разных оплодотворенных яйцеклеток, одновременно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имплантировавшихся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(внедрившихся) в матку; они могут иметь разный пол и обычно похожи не более, чем братья и сестры, родившиеся не вместе (рис. 2-2).  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4050"/>
      </w:tblGrid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монозиготные близнецы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дизиготные близнецы</w:t>
            </w:r>
          </w:p>
        </w:tc>
      </w:tr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281AEF" wp14:editId="4662523B">
                  <wp:extent cx="1905000" cy="1917700"/>
                  <wp:effectExtent l="0" t="0" r="0" b="6350"/>
                  <wp:docPr id="4" name="Рисунок 4" descr="https://foxford.ru/uploads/tinymce_image/image/9596/%D0%BC%D0%BE%D0%BD%D0%BE%D0%B7%D0%B8%D0%B3%D0%BE%D1%82%D0%BD%D1%8B%D0%B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oxford.ru/uploads/tinymce_image/image/9596/%D0%BC%D0%BE%D0%BD%D0%BE%D0%B7%D0%B8%D0%B3%D0%BE%D1%82%D0%BD%D1%8B%D0%B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B222BF"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7C9E2128" wp14:editId="5AF279A9">
                  <wp:extent cx="2286000" cy="1511300"/>
                  <wp:effectExtent l="0" t="0" r="0" b="0"/>
                  <wp:docPr id="5" name="Рисунок 5" descr="https://foxford.ru/uploads/tinymce_image/image/9597/%D0%B4%D0%B8%D0%B7%D0%B8%D0%B3%D0%BE%D1%82%D0%BD%D1%8B%D0%B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oxford.ru/uploads/tinymce_image/image/9597/%D0%B4%D0%B8%D0%B7%D0%B8%D0%B3%D0%BE%D1%82%D0%BD%D1%8B%D0%B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596AEFBE" wp14:editId="6AA9C094">
                  <wp:extent cx="1092200" cy="2590800"/>
                  <wp:effectExtent l="0" t="0" r="0" b="0"/>
                  <wp:docPr id="6" name="Рисунок 6" descr="https://foxford.ru/uploads/tinymce_image/image/9605/monozygo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oxford.ru/uploads/tinymce_image/image/9605/monozyg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767C41BC" wp14:editId="516FB446">
                  <wp:extent cx="1612900" cy="2584450"/>
                  <wp:effectExtent l="0" t="0" r="6350" b="6350"/>
                  <wp:docPr id="7" name="Рисунок 7" descr="https://foxford.ru/uploads/tinymce_image/image/9606/dizygo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oxford.ru/uploads/tinymce_image/image/9606/dizygo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258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Рис. 2.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Монозиготные близнецы полностью генетически идентичны друг другу (можно сказать, являются клонами друг друга). Поэтому все различия между ними объясняются воздействием внешней среды. Анализируют проявление признаков у близнецов, находившихся в одной семье, то есть в похожих условиях среды, и у тех, что попали в разные семьи, в разные условия. По результатам анализа вычисляют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конкордантность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показатель идентичности близнецов по определенному признаку; соответствует доле сходных по изучаемому признаку пар среди обследованных пар близнецов. Доля различных пар называется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дискордантностью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Чем больше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конкордантность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тем больше роль наследственных факторов в формировании данного признака и тем меньше роль среды.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Популяционно-генетический метод.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Предполагает анализ распределения значений признаков и частот аллелей в популяциях. Лежит в основе популяционной генетики. Например, на рисунке 3 показана карта распределения частот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группы крови В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человеческих популяциях.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222BF" w:rsidRPr="00B222BF" w:rsidRDefault="00B222BF" w:rsidP="00B222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7F2B0DA" wp14:editId="48251EA9">
            <wp:extent cx="4933950" cy="2698750"/>
            <wp:effectExtent l="0" t="0" r="0" b="6350"/>
            <wp:docPr id="8" name="Рисунок 8" descr="https://foxford.ru/uploads/tinymce_image/image/9601/%D0%B3%D1%80%D1%83%D0%BF%D0%BF%D0%B0_%D0%BA%D1%80%D0%BE%D0%B2%D0%B8_%D0%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xford.ru/uploads/tinymce_image/image/9601/%D0%B3%D1%80%D1%83%D0%BF%D0%BF%D0%B0_%D0%BA%D1%80%D0%BE%D0%B2%D0%B8_%D0%9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Рис. 3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Цитогенетический метод.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прежде всего изучение хромосом под микроскопом. Он позволяет обнаружить геномные мутации (например,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трисомия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21, приводящая к синдрому Дауна), а также крупные перестройки отдельных хромосом (инверсии,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делеции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Для идентификации определенных хромосом используют метод дифференциального окрашивания хромосом. Обычно при этом получается определенный рисунок полос разной ширины, который уникален для каждого конкретного участка хромосом (рис. 4).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222BF" w:rsidRPr="00B222BF" w:rsidRDefault="00B222BF" w:rsidP="00B222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4774FDE" wp14:editId="0919ED57">
            <wp:extent cx="2857500" cy="3206750"/>
            <wp:effectExtent l="0" t="0" r="0" b="0"/>
            <wp:docPr id="9" name="Рисунок 9" descr="https://foxford.ru/uploads/tinymce_image/image/9602/%D1%85%D1%80%D0%BE%D0%BC%D0%BE%D1%81%D0%BE%D0%BC%D1%8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xford.ru/uploads/tinymce_image/image/9602/%D1%85%D1%80%D0%BE%D0%BC%D0%BE%D1%81%D0%BE%D0%BC%D1%8B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Рис. 4.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На рис. 5 показан кариотип человека при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трисомии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21 — хорошо видно наличие одной дополнительной хромосомы 21. Хромосомы идентифицируют по длине, положению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центромеры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рисунку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исчерченности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затем их фотографии вырезают и располагают упорядоченно.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222BF" w:rsidRPr="00B222BF" w:rsidRDefault="00B222BF" w:rsidP="00B222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03FEC17" wp14:editId="2D05F4A2">
            <wp:extent cx="2857500" cy="2216150"/>
            <wp:effectExtent l="0" t="0" r="0" b="0"/>
            <wp:docPr id="10" name="Рисунок 10" descr="https://foxford.ru/uploads/tinymce_image/image/9607/%D1%82%D1%80%D0%B8%D1%81%D0%BE%D0%BC%D0%B8%D1%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xford.ru/uploads/tinymce_image/image/9607/%D1%82%D1%80%D0%B8%D1%81%D0%BE%D0%BC%D0%B8%D1%8F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Рис. 5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Большую роль в развитии цитогенетики сыграло изучение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политенных хромосом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насекомых — они крупные, содержат множество молекул ДНК и хорошо видны под микроскопом. Они, как правило, имеют определенный рисунок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исчерченности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даже без окрашивания, за счет чередования рыхлых активных участков — пуфов и плотных неактивных участков — дисков (рис. 6).</w:t>
      </w:r>
    </w:p>
    <w:p w:rsidR="00B222BF" w:rsidRPr="00B222BF" w:rsidRDefault="00B222BF" w:rsidP="00B222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F50EC2C" wp14:editId="1595EC48">
            <wp:extent cx="3810000" cy="2882900"/>
            <wp:effectExtent l="0" t="0" r="0" b="0"/>
            <wp:docPr id="11" name="Рисунок 11" descr="https://foxford.ru/uploads/tinymce_image/image/9603/%D0%BF%D0%BE%D0%BB%D0%B8%D1%82%D0%B5%D0%BD%D0%BD%D1%8B%D0%B5_%D1%85%D1%80%D0%BE%D0%BC%D0%BE%D1%81%D0%BE%D0%BC%D1%8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xford.ru/uploads/tinymce_image/image/9603/%D0%BF%D0%BE%D0%BB%D0%B8%D1%82%D0%B5%D0%BD%D0%BD%D1%8B%D0%B5_%D1%85%D1%80%D0%BE%D0%BC%D0%BE%D1%81%D0%BE%D0%BC%D1%8B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Рис. 6.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Биохимический метод.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процессе исторического развития генетики важным был вопрос о биохимической функции гена. Английский врач Арчибальд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Гэррод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еще в 1902 году предложил концепцию "врожденных ошибок метаболизма", объясняя моногенные (зависящие в основном от 1 гена) наследственные заболевания, такие, как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алкаптонурия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расстройство обмена тирозина, нарушением протекания определенных реакций метаболизма. В результате развития этой концепции и дальнейшего прогресса биохимии появилась гипотеза "1 ген — 1 фермент", которая в уточненном виде ("1 ген — 1 белок или РНК") является базовой и в современной молекулярной биологии. Оказалось, что действительно многие наследственные биохимические нарушения связаны с изменениями (мутациями) в генах определенных ферментов, и в результате этих мутаций нарушается метаболизм — не протекает определенная реакция. Выяснить это помог биохимический метод генетики, который предполагает выделение 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характеристику набора определенных веществ из нормального и из мутантного организма и их сравнение, что позволяет определить присутствие или отсутствие, например, исследуемого фермента, либо продукта его реакции.</w:t>
      </w:r>
    </w:p>
    <w:p w:rsidR="00B222BF" w:rsidRPr="00B222BF" w:rsidRDefault="00B222BF" w:rsidP="00B22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Молекулярный метод.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Прогресс молекулярной биологии и появление новых методов существенно ускорили развитие генетики. Появились технологии прочтения нуклеотидных последовательностей ДНК —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секвенирования</w:t>
      </w:r>
      <w:proofErr w:type="spellEnd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ДНК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настоящее время они позволяют за относительно короткое время прочитывать целые геномы сложных организмов. Работа с полученными последовательностями ДНК ("генетическими текстами") легла в основу новой науки —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биоинформатики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Помимо этого, важную роль сыграли методы выделения нужных генов — молекулярного клонирования и ПЦР, о которых можно подробнее прочесть в теме "Методы молекулярной биологии и молекулярная биотехнология".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Основные закономерности наследования признаков были впервые сформулированы в работах австрийского исследователя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Грегора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Менделя. Менделя считают отцом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генетики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науки о закономерностях наследственности и изменчивости организмов. Он использовал в своей работе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гибридологический метод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генетики. Этот метод заключается в скрещивании организмов с определенными признаками и анализе проявления признаков у потомства. Предшественники Менделя уже пытались установить основные закономерности наследственности. Они занимались скрещиванием растений, реже животных и наблюдали такие явления, как доминирование и расщепление, однако не смогли сделать достаточно общих выводов из наблюдений. 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позволило работе Менделя стать революцией в биологии, и каковы ее основные принципы?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Одной из важнейших составляющих успеха Менделя было то, что он скрещивал сорта гороха, которые различались парами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альтернативных признаков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Альтернативные признаки имеют четко различимые взаимоисключающие проявления без промежуточных форм по принципу «или — или».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222BF" w:rsidRPr="00B222BF" w:rsidRDefault="00B222BF" w:rsidP="00B222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желтые или зеленые семена;</w:t>
      </w:r>
    </w:p>
    <w:p w:rsidR="00B222BF" w:rsidRPr="00B222BF" w:rsidRDefault="00B222BF" w:rsidP="00B222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карликовые или нормальные растения;</w:t>
      </w:r>
    </w:p>
    <w:p w:rsidR="00B222BF" w:rsidRPr="00B222BF" w:rsidRDefault="00B222BF" w:rsidP="00B222B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пазушные или верхушечные цветки;</w:t>
      </w:r>
    </w:p>
    <w:p w:rsidR="00B222BF" w:rsidRPr="00B222BF" w:rsidRDefault="00B222BF" w:rsidP="00B22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гладкие или морщинистые семядоли.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Второй составляющей работы Менделя является анализ генотипа и фенотипа организмов. </w:t>
      </w:r>
    </w:p>
    <w:p w:rsidR="00B222BF" w:rsidRPr="00B222BF" w:rsidRDefault="00B222BF" w:rsidP="00B222B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Определение</w:t>
      </w:r>
    </w:p>
    <w:p w:rsidR="00B222BF" w:rsidRPr="00B222BF" w:rsidRDefault="00B222BF" w:rsidP="00B222B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Генотип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совокупность генов данного организма, а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фенотип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«фен»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признак) — это совокупность его признаков.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 гены не всегда проявляются как признаки, организмы могут иметь одинаковый фенотип, но разные генотипы. Фенотип также зависит от взаимодействия генотипа и окружающей среды, то есть организмы с одинаковым генотипом могут иметь разные признаки (например, близнецы или растения при вегетативном размножении).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Мендель проводил точный количественный учет проявления признаков у потомства, разбивая его на группы по признакам и подсчитывая число особей (или семян) в каждой. Он оперировал в своей работе не качественными понятиями («больше — меньше»), а точными цифрами. Он анализировал эти цифры и старался усмотреть в них определенные математические соотношения. Это без преувеличения можно назвать первым синтезом математики и биологии, а в целом - переворотом в биологическом мышлении.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При анализе наследования Мендель всегда обращал внимание на каждый признак отдельно. Этот принцип и сегодня лежит в основе генетического анализа. Ранее исследователи пытались описать фенотип как целое, по всем признакам сразу. Это был тупиковый путь, так как в таком случае закономерности наследования становятся слишком сложными для того, чтобы их легко вычленить. Для описания наследования необходимо выделять отдельный признак и «не обращать внимания» на остальные.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Мендель брал в исходные скрещивания не любые растения, а только чистые линии.</w:t>
      </w:r>
    </w:p>
    <w:p w:rsidR="00B222BF" w:rsidRPr="00B222BF" w:rsidRDefault="00B222BF" w:rsidP="00B222B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Определение</w:t>
      </w:r>
    </w:p>
    <w:p w:rsidR="00B222BF" w:rsidRPr="00B222BF" w:rsidRDefault="00B222BF" w:rsidP="00B222B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Чистая линия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совокупность организмов, которые на протяжении многих поколений скрещиваний друг с другом проявляют одинаковые признаки (не дают расщепления).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получают путем близкородственных скрещиваний. Горох — самоопыляющееся растение, поэтому в данном случае чистые линии легко получаются путем самоопыления в течение нескольких поколений и отбора особей с постоянным проявлением признака в потомстве. </w:t>
      </w:r>
    </w:p>
    <w:p w:rsidR="00B222BF" w:rsidRPr="00B222BF" w:rsidRDefault="00B222BF" w:rsidP="00B222B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ДОМИНИРОВАНИЕ. ПЕРВЫЙ ЗАКОН МЕНДЕЛЯ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скрещивании организмов из двух чистых линий, различающихся по одной паре альтернативных признаков, Мендель наблюдал явление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доминирования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Оно заключается в том, что в таком скрещивании все потомство получается </w:t>
      </w:r>
      <w:r w:rsidRPr="00B222B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единообразным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проявляет признак одного из родителей, который называется в этом случае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доминантным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Признак второго родителя,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рецессивный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бы исчезает, однако это лишь видимость. Если получить потомство от самоопыления гибридов первого поколения, то часть растений снова проявит рецессивный признак. Это означает, что наследственная основа, то есть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этого признака, не исчез, он передался следующему поколению. Но в первом поколении гибридов рецессивный признак не проявляется, «скрытый» доминантным признаком, он как бы отступает в тень доминантного (слово рецессивный происходит от лат.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recede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отступать). 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при скрещивании растений гороха с желтыми и зелеными семенами все потомство (т.е. гибриды первого поколения) оказалось с желтым семенами (см. рис. 1). При этом не имело значения, из какого именно семени (желтого или зеленого) выросли материнские (отцовские) растения. Итак, оба родителя в равной степени способны передавать свои признаки потомству. </w:t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C96636D" wp14:editId="766B924D">
            <wp:extent cx="3562350" cy="2336800"/>
            <wp:effectExtent l="0" t="0" r="0" b="6350"/>
            <wp:docPr id="12" name="Рисунок 12" descr="https://foxford.ru/uploads/tinymce_image/image/9318/1_%D0%B7%D0%B0%D0%BA%D0%BE%D0%BD_%D0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xford.ru/uploads/tinymce_image/image/9318/1_%D0%B7%D0%B0%D0%BA%D0%BE%D0%BD_%D0%B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1.</w:t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записи скрещиваний употребляются стандартные обозначения: ♀ — родитель женского пола; ♂ — родитель мужского пола; G, g, или Г — гаметы; P — родители; F — потомство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Аналогичные результаты были получены и в опытах, в которых во внимание принимались другие признаки. Так, при скрещивании растений с гладкими и морщинистыми семенами все потомство имело гладкие семена. При скрещивании высокорослых растений с низкорослыми все потомки были высокорослыми, у растений с пурпурными и белыми цветками — у всех гибридов оказались пурпурные цветки и т. д. Обнаруженная закономерность получила название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первого закона Менделя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закона доминирования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организм (если он диплоидный, 2n) содержит в своем геноме 2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каждого гена.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Аллель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это вариант, состояние определенного гена. Разные аллельные варианты возникают в результате мутаций и отличаются определенными нуклеотидными заменами, вставками и т.п. Каждый аллель отвечает за одно из возможных проявлений признака,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— желтые семена, а — зеленые. Аллельные гены расположены в одном и том же участке (локусе) гомологичных хромосом (см. тему «Хромосомы, их гаплоидный и диплоидный набор. Жизненные циклы эукариот»). Один из аллелей организм получил от матери, а другой от отца при оплодотворении, в результате которого образуется зигота.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оба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одинаковы, то организм называется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гомозиготным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гомозиготой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(от греч. «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гомос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— одинаковый),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AA или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aa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Таковы организмы чистых линий. В геноме гибридов I поколения имеется два разных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гена, отвечающего за цвет семян, — А и a (хотя проявляется только А). Такой организм, содержащий разные аллели одного гена, называется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гетерозиготным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гетерозиготой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(от греч. «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гетерос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— разный, другой). В его генотипе рецессивный и доминантный аллели присутствуют вместе. Состояние (аллель) признака, проявляющегося в гетерозиготном состоянии, получило название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доминантного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состояние (аллель), которое у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гетерозигот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проявляется, называется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рецессивным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(рис. 2).</w:t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07131C0" wp14:editId="282AE84C">
            <wp:extent cx="4438650" cy="2933700"/>
            <wp:effectExtent l="0" t="0" r="0" b="0"/>
            <wp:docPr id="13" name="Рисунок 13" descr="https://foxford.ru/uploads/tinymce_image/image/9323/1_%D0%B7%D0%B0%D0%BA%D0%BE%D0%BD_%D1%85%D1%80%D0%BE%D0%BC%D0%BE%D1%81%D0%BE%D0%BC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xford.ru/uploads/tinymce_image/image/9323/1_%D0%B7%D0%B0%D0%BA%D0%BE%D0%BD_%D1%85%D1%80%D0%BE%D0%BC%D0%BE%D1%81%D0%BE%D0%BC%D1%8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Рис. 2</w:t>
      </w:r>
    </w:p>
    <w:p w:rsidR="00B222BF" w:rsidRPr="00B222BF" w:rsidRDefault="00B222BF" w:rsidP="00B222B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ПРОМЕЖУТОЧНОЕ НАСЛЕДОВАНИЕ, неполное доминирование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Если фенотип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гетерозиготы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совпадает с фенотипом одной из родительских чистых линий, говорят о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полном доминировании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(как в случае зеленых и желтых семян у гороха).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дальнейшем обнаружилось, что в первом поколении не всегда проявляется признак одного из родителей. Возможно явление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неполного доминирования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 котором гибриды (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гетерозиготы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проявляют промежуточный признак (см. рис. 3), не характерный для родительских линий.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18E74D5" wp14:editId="0B871AB8">
            <wp:extent cx="2679700" cy="2000250"/>
            <wp:effectExtent l="0" t="0" r="6350" b="0"/>
            <wp:docPr id="14" name="Рисунок 14" descr="https://foxford.ru/uploads/tinymce_image/image/9326/ccf3521fb90b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xford.ru/uploads/tinymce_image/image/9326/ccf3521fb90b01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Рис. 3. </w:t>
      </w:r>
    </w:p>
    <w:p w:rsidR="00B222BF" w:rsidRPr="00B222BF" w:rsidRDefault="00B222BF" w:rsidP="00B222B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ОТНОСИТЕЛЬНОСТЬ ДОМИНАНТНОСТИ и множественные аллели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Часто один признак может иметь более одной формы выражения,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окраска шерсти у кроликов (см. рис. 4) может быть белой, гималайской, или горностаевой (белое тело, темные уши, хвост, концы лап и морды), шиншилловой (серебристой), коричневой и черной. При этом существует целая серия разных аллелей генов, отвечающих за окраску. Например, с — альбинизм, 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ССh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гималайская окраска, 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ССch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шиншилловая.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Множественный 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аллелизм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(наличие у гена более 2 аллелей) — явление, повсеместно распространенное в природе, аллелей каждого гена в генофонде популяции часто бывает много. В геноме каждого конкретного диплоидного (2n) организма присутствуют всегда какие-то 2 из них. Важно понимать, что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доминантность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понятие относительное. Каждый отдельный признак может доминировать по отношению к одним проявлениям и быть рецессивным по отношению к другим.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окрас шерсти у кроликов бывает: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ссa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альбинос, 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ch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гималайская окраска, 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cs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шиншилловая,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c+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агути ("перец с солью").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этом по увеличению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доминантности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агути &gt;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шиншилла &gt; гималайский &gt; альбинос</w:t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124E061" wp14:editId="13434535">
            <wp:extent cx="2857500" cy="1231900"/>
            <wp:effectExtent l="0" t="0" r="0" b="6350"/>
            <wp:docPr id="15" name="Рисунок 15" descr="https://foxford.ru/uploads/tinymce_image/image/9321/%D0%BA%D1%80%D0%BE%D0%BB%D0%B5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xford.ru/uploads/tinymce_image/image/9321/%D0%BA%D1%80%D0%BE%D0%BB%D0%B5%D0%B3%D0%B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BF" w:rsidRPr="00B222BF" w:rsidRDefault="00B222BF" w:rsidP="00B222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Рис. 4</w:t>
      </w:r>
    </w:p>
    <w:p w:rsidR="00B222BF" w:rsidRPr="00B222BF" w:rsidRDefault="00B222BF" w:rsidP="00B222B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222B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КОДОМИНИРОВАНИЕ И НАСЛЕДОВАНИЕ ГРУПП КРОВИ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бывают случаи одновременного проявления двух признаков, это явление получило название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кодоминирования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Оно наблюдается, например, при наследовании групп крови у человека (см. рис.). Система группы крови по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Ландштейнеру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или АВО, является первой из исследованных, хотя есть и другие системы антигенов групп крови. В 1930 г. Карл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Ландштейнер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получил за исследования групп крови Нобелевскую премию. Он изучал совместимость крови у пациентов при переливании. Оказалось, что в некоторых случаях переливаемая кровь вызывает иммунный ответ у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реципиента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(пациента, которому перелили кровь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донора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а в некоторых — нет. Эти исследования имели колоссальное значение для медицины.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 системы АВО определяется типом поверхностных молекул на мембране эритроцитов. Эти молекулы называют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антигенами групп крови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потому что они могут вызывать иммунный ответ у реципиента, в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ему перелита кровь неподходящей группы. Существуют три типа антигенов — А, В и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(отсюда название данной системы групп крови).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Наследование групп крови системы АВО определяется 3 аллелями: i,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IA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IB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геноме каждого конкретного диплоидного (2n) организма присутствуют всегда какие-то 2 из них. О — это исходный тип антигена, который может превращаться в А или В под действием определенных ферментов. Гены этих ферментов и есть гены групп крови АВО. </w:t>
      </w:r>
    </w:p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IA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IB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доминируют над i, поэтому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гомозиготы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IA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IA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гетерозиготы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IA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i имеют одинаковый фенотип — II группу крови. Аналогично,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гомозиготы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ВIВ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ВIВ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гетерозиготы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ВIВ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i имеют одинаковый фенотип — III группу крови.  В случае IV группы крови имеет место явление </w:t>
      </w:r>
      <w:proofErr w:type="spellStart"/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кодоминирования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Проявляются оба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вместе —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IA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B222B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IB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на эритроцитах присутствуют оба типа поверхностных антигенов, </w:t>
      </w:r>
      <w:proofErr w:type="gram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В, при этом возникает новый признак (особая группа крови — IV, или АВ).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813"/>
        <w:gridCol w:w="2261"/>
        <w:gridCol w:w="3094"/>
      </w:tblGrid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Антигены эритроцитов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Гены антигенов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Группа крови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Возможные генотипы групп крови</w:t>
            </w:r>
          </w:p>
        </w:tc>
      </w:tr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 (или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i0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 группа, или группа 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ii</w:t>
            </w:r>
            <w:proofErr w:type="spellEnd"/>
          </w:p>
        </w:tc>
      </w:tr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II группа, или группа A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val="en-US" w:eastAsia="ru-RU"/>
              </w:rPr>
              <w:t>IA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val="en-US" w:eastAsia="ru-RU"/>
              </w:rPr>
              <w:t>IA</w:t>
            </w:r>
            <w:proofErr w:type="spellEnd"/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или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val="en-US" w:eastAsia="ru-RU"/>
              </w:rPr>
              <w:t>IA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IB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III группа, или группа B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val="en-US" w:eastAsia="ru-RU"/>
              </w:rPr>
              <w:t>IB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val="en-US" w:eastAsia="ru-RU"/>
              </w:rPr>
              <w:t>IB</w:t>
            </w:r>
            <w:proofErr w:type="spellEnd"/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или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val="en-US" w:eastAsia="ru-RU"/>
              </w:rPr>
              <w:t>IB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</w:tr>
      <w:tr w:rsidR="00B222BF" w:rsidRPr="00B222BF" w:rsidTr="00B222B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 и В (оба типа)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IA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и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IB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IV группа, или группа АВ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22BF" w:rsidRPr="00B222BF" w:rsidRDefault="00B222BF" w:rsidP="00B2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IA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B222BF">
              <w:rPr>
                <w:rFonts w:ascii="Times New Roman" w:eastAsia="Times New Roman" w:hAnsi="Times New Roman" w:cs="Times New Roman"/>
                <w:color w:val="404040"/>
                <w:bdr w:val="none" w:sz="0" w:space="0" w:color="auto" w:frame="1"/>
                <w:lang w:eastAsia="ru-RU"/>
              </w:rPr>
              <w:t>IB</w:t>
            </w:r>
          </w:p>
        </w:tc>
      </w:tr>
    </w:tbl>
    <w:p w:rsidR="00B222BF" w:rsidRPr="00B222BF" w:rsidRDefault="00B222BF" w:rsidP="00B2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 были рассмотрены следующие типы взаимодействия аллелей:</w:t>
      </w:r>
    </w:p>
    <w:p w:rsidR="00B222BF" w:rsidRPr="00B222BF" w:rsidRDefault="00B222BF" w:rsidP="00B222B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 доминирование;</w:t>
      </w:r>
    </w:p>
    <w:p w:rsidR="00B222BF" w:rsidRPr="00B222BF" w:rsidRDefault="00B222BF" w:rsidP="00B222B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неполное доминирование;</w:t>
      </w:r>
    </w:p>
    <w:p w:rsidR="00B222BF" w:rsidRPr="00B222BF" w:rsidRDefault="00B222BF" w:rsidP="00B22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кодоминирование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222BF" w:rsidRPr="00B222BF" w:rsidRDefault="00B222BF" w:rsidP="00B222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скрещивании гибридов первого поколения между собой (самоопыления), которые были получены при искусственном перекрёстном опылении двух сортов гороха с альтернативными признаками, во втором поколении Мендель получил особи как с доминантными, так и с рецессивными состояниями признаков, т.е. наблюдал расщепление признаков. Проделав статистический анализ среди гибридов второго поколения, учёный обнаружил закономерность соотношений количеств потомков с разными признаками. Так, в опытах Менделя на 929 растений второго поколения оказалось 705 с пурпурными цветками и 224 с белыми. В опыте, в котором учитывался цвет семян, с 8023 семенами гороха, полученными во втором поколении, было 6022 жёлтых и 2001 зелёное, а с 7324 семенами, в отношении которых учитывалась форма семени, было получено 5474 гладких и 1850 морщинистых. Исходя из полученных результатов, Мендель пришел к выводу, что во втором поколении 75% особей имеют доминантное состояние признака, а 25% — рецессивное (расщепление 3:1). Эта закономерность получила название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второго закона Менделя,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Закона расщепления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Таким образом, рецессивные гены никуда не делись и продолжали существовать в гибридах, не проявляясь. Мендель высказал предположение, что каждый организм содержит пару наследственных зачатков, один из которых он получил от отцовского организма, а второй — от материнского. Если гибрид второго поколения получал от родителей два рецессивных гена, он проявлял рецессивный признак, если хотя бы один доминантный ген — проявлялся доминантный признак. Это подтвердилось при получении гибридов третьего поколения путем самоопыления (см. рис.):</w:t>
      </w:r>
    </w:p>
    <w:p w:rsidR="00B222BF" w:rsidRPr="00B222BF" w:rsidRDefault="00B222BF" w:rsidP="00B222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noProof/>
          <w:lang w:eastAsia="ru-RU"/>
        </w:rPr>
        <w:lastRenderedPageBreak/>
        <w:drawing>
          <wp:inline distT="0" distB="0" distL="0" distR="0">
            <wp:extent cx="5226050" cy="2362200"/>
            <wp:effectExtent l="0" t="0" r="0" b="0"/>
            <wp:docPr id="1" name="Рисунок 1" descr="https://foxford.ru/uploads/tinymce_image/image/1817/_____74___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817/_____74_____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BF" w:rsidRPr="00B222BF" w:rsidRDefault="00B222BF" w:rsidP="00B222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рецессивные растения давали только рецессивное потомство, тогда как доминантные особи разделились на две группы: первая давала только доминантное потомство, а вторая и третья — доминантных и рецессивных потомков в отношении 3:1. Такие организмы несли два разных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аллеля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гена, так же как и их предок — гибрид первого поколения. Такие организмы называются гетерозиготными, в отличие от гомозиготных, несущих только один аллель данного гена. Таким образом, по своим наследственным свойствам (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генотипу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гибриды первого поколения давали расщепление 1:2:1, а по внешним признакам (по фенотипу) 3:1.</w:t>
      </w:r>
    </w:p>
    <w:p w:rsidR="00B222BF" w:rsidRPr="00B222BF" w:rsidRDefault="00B222BF" w:rsidP="00B222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Мендель предположил также, что 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каждая гамета несёт только один аллель данного гена (принцип чистоты гамет). </w:t>
      </w:r>
    </w:p>
    <w:p w:rsidR="00B222BF" w:rsidRPr="00B222BF" w:rsidRDefault="00B222BF" w:rsidP="00B222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скрещивании двух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гетерозигот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в каждой из которых образуется два типа гамет (половина с доминантными аллелями А, половина с рецессивными а), необходимо ожидать четыре возможных сочетания.</w:t>
      </w:r>
    </w:p>
    <w:p w:rsidR="00B222BF" w:rsidRPr="00B222BF" w:rsidRDefault="00B222BF" w:rsidP="00B222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Яйцеклетка с аллелью А может быть оплодотворена с одинаковой долей вероятности как сперматозоидом с аллелью А, так и сперматозоидом с аллелью а; и яйцеклетка с аллелью а — сперматозоидом или с аллелью А, или с аллелью а. В результате получаются зиготы АА,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АА, 2Аа,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внешнему виду (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фенотипу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особи АА и 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отличаются, поэтому расщепление выходит в соотношении 3:1. По генотипу особи распределяются в соотношении 1АА:2Аа:1аа. Понятно, что если от каждой группы особей второго поколения получать потомство только самоопылением, то первая (АА) и последняя (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группы (они гомозиготные) будут давать только однообразное потомство (без расщепления), а гетерозиготные (</w:t>
      </w:r>
      <w:proofErr w:type="spellStart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Аа</w:t>
      </w:r>
      <w:proofErr w:type="spellEnd"/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формы будут давать расщепление в соотношении 3:1.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Таким образом,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Второй закон Менделя, или Закон расщепления, </w:t>
      </w:r>
      <w:r w:rsidRPr="00B222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формулируется так:</w:t>
      </w:r>
      <w:r w:rsidRPr="00B222B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при скрещивании двух гибридов первого поколения, которые анализируются по одной аллельной паре признаков, в потомстве наблюдается расщепление по фенотипу в соотношении 3:1 и по генотипу в соотношении 1:2:1.</w:t>
      </w:r>
    </w:p>
    <w:p w:rsidR="00B222BF" w:rsidRDefault="00B222BF" w:rsidP="00B222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Изучая расщепления при </w:t>
      </w:r>
      <w:proofErr w:type="spellStart"/>
      <w:r>
        <w:rPr>
          <w:rFonts w:ascii="Arial" w:hAnsi="Arial" w:cs="Arial"/>
          <w:color w:val="333333"/>
        </w:rPr>
        <w:t>дигибридном</w:t>
      </w:r>
      <w:proofErr w:type="spellEnd"/>
      <w:r>
        <w:rPr>
          <w:rFonts w:ascii="Arial" w:hAnsi="Arial" w:cs="Arial"/>
          <w:color w:val="333333"/>
        </w:rPr>
        <w:t xml:space="preserve"> скрещивании (скрещивании организмов, которые отличаются по двум признакам), Мендель обратил внимание на следующее обстоятельство. При скрещивании растений с жёлтыми гладкими (ААВВ) и зелёными морщинистыми (</w:t>
      </w:r>
      <w:proofErr w:type="spellStart"/>
      <w:r>
        <w:rPr>
          <w:rFonts w:ascii="Arial" w:hAnsi="Arial" w:cs="Arial"/>
          <w:color w:val="333333"/>
        </w:rPr>
        <w:t>ааbb</w:t>
      </w:r>
      <w:proofErr w:type="spellEnd"/>
      <w:r>
        <w:rPr>
          <w:rFonts w:ascii="Arial" w:hAnsi="Arial" w:cs="Arial"/>
          <w:color w:val="333333"/>
        </w:rPr>
        <w:t>) семенами в первом поколении все горошины были гладкими и жёлтыми (</w:t>
      </w:r>
      <w:proofErr w:type="spellStart"/>
      <w:r>
        <w:rPr>
          <w:rFonts w:ascii="Arial" w:hAnsi="Arial" w:cs="Arial"/>
          <w:color w:val="333333"/>
        </w:rPr>
        <w:t>AaBb</w:t>
      </w:r>
      <w:proofErr w:type="spellEnd"/>
      <w:r>
        <w:rPr>
          <w:rFonts w:ascii="Arial" w:hAnsi="Arial" w:cs="Arial"/>
          <w:color w:val="333333"/>
        </w:rPr>
        <w:t>), а во втором поколении появлялись новые комбинации признаков: жёлтые морщинистое (</w:t>
      </w:r>
      <w:proofErr w:type="spellStart"/>
      <w:r>
        <w:rPr>
          <w:rFonts w:ascii="Arial" w:hAnsi="Arial" w:cs="Arial"/>
          <w:color w:val="333333"/>
        </w:rPr>
        <w:t>Ааbb</w:t>
      </w:r>
      <w:proofErr w:type="spellEnd"/>
      <w:r>
        <w:rPr>
          <w:rFonts w:ascii="Arial" w:hAnsi="Arial" w:cs="Arial"/>
          <w:color w:val="333333"/>
        </w:rPr>
        <w:t>) и зелёные гладкие (</w:t>
      </w:r>
      <w:proofErr w:type="spellStart"/>
      <w:r>
        <w:rPr>
          <w:rFonts w:ascii="Arial" w:hAnsi="Arial" w:cs="Arial"/>
          <w:color w:val="333333"/>
        </w:rPr>
        <w:t>ааВb</w:t>
      </w:r>
      <w:proofErr w:type="spellEnd"/>
      <w:r>
        <w:rPr>
          <w:rFonts w:ascii="Arial" w:hAnsi="Arial" w:cs="Arial"/>
          <w:color w:val="333333"/>
        </w:rPr>
        <w:t xml:space="preserve">), которые не встречались в </w:t>
      </w:r>
      <w:r>
        <w:rPr>
          <w:rFonts w:ascii="Arial" w:hAnsi="Arial" w:cs="Arial"/>
          <w:color w:val="333333"/>
        </w:rPr>
        <w:lastRenderedPageBreak/>
        <w:t>исходных формах. Соотношение форм по фенотипу было 9 жёлтых гладких (А-В-) : 3 жёлтых морщинистых (А-</w:t>
      </w:r>
      <w:proofErr w:type="spellStart"/>
      <w:r>
        <w:rPr>
          <w:rFonts w:ascii="Arial" w:hAnsi="Arial" w:cs="Arial"/>
          <w:color w:val="333333"/>
        </w:rPr>
        <w:t>bb</w:t>
      </w:r>
      <w:proofErr w:type="spellEnd"/>
      <w:r>
        <w:rPr>
          <w:rFonts w:ascii="Arial" w:hAnsi="Arial" w:cs="Arial"/>
          <w:color w:val="333333"/>
        </w:rPr>
        <w:t>) : 3 зелёных гладких (</w:t>
      </w:r>
      <w:proofErr w:type="spellStart"/>
      <w:r>
        <w:rPr>
          <w:rFonts w:ascii="Arial" w:hAnsi="Arial" w:cs="Arial"/>
          <w:color w:val="333333"/>
        </w:rPr>
        <w:t>аaВ</w:t>
      </w:r>
      <w:proofErr w:type="spellEnd"/>
      <w:r>
        <w:rPr>
          <w:rFonts w:ascii="Arial" w:hAnsi="Arial" w:cs="Arial"/>
          <w:color w:val="333333"/>
        </w:rPr>
        <w:t>-) : 1 зелёный морщинистый (</w:t>
      </w:r>
      <w:proofErr w:type="spellStart"/>
      <w:r>
        <w:rPr>
          <w:rFonts w:ascii="Arial" w:hAnsi="Arial" w:cs="Arial"/>
          <w:color w:val="333333"/>
        </w:rPr>
        <w:t>аabb</w:t>
      </w:r>
      <w:proofErr w:type="spellEnd"/>
      <w:r>
        <w:rPr>
          <w:rFonts w:ascii="Arial" w:hAnsi="Arial" w:cs="Arial"/>
          <w:color w:val="333333"/>
        </w:rPr>
        <w:t>). При этом соотношение жёлтых и зелёных оказалось 3:1, гладких и морщинистых тоже 3:1.</w:t>
      </w:r>
    </w:p>
    <w:p w:rsidR="00B222BF" w:rsidRDefault="00B222BF" w:rsidP="00B222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 этого наблюдения Мендель сделал вывод, что </w:t>
      </w:r>
      <w:r>
        <w:rPr>
          <w:rStyle w:val="a3"/>
          <w:rFonts w:ascii="Arial" w:hAnsi="Arial" w:cs="Arial"/>
          <w:color w:val="333333"/>
        </w:rPr>
        <w:t>расщепление по каждому признаку происходит независимо от второго признака.</w:t>
      </w:r>
      <w:r>
        <w:rPr>
          <w:rFonts w:ascii="Arial" w:hAnsi="Arial" w:cs="Arial"/>
          <w:color w:val="333333"/>
        </w:rPr>
        <w:t> В этом примере форма семян наследовалась независимо от их окраски. Эта закономерность получила название</w:t>
      </w:r>
      <w:r>
        <w:rPr>
          <w:rStyle w:val="a3"/>
          <w:rFonts w:ascii="Arial" w:hAnsi="Arial" w:cs="Arial"/>
          <w:color w:val="333333"/>
        </w:rPr>
        <w:t> третьего закона Менделя, или закона независимого распределения генов. </w:t>
      </w:r>
    </w:p>
    <w:p w:rsidR="00B222BF" w:rsidRDefault="00B222BF" w:rsidP="00B222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670300" cy="4572000"/>
            <wp:effectExtent l="0" t="0" r="6350" b="0"/>
            <wp:docPr id="2" name="Рисунок 2" descr="https://foxford.ru/uploads/tinymce_image/image/15882/dihybrid_cro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15882/dihybrid_cross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BF" w:rsidRDefault="00B222BF" w:rsidP="00B222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Третий Закон Менделя:</w:t>
      </w:r>
      <w:r>
        <w:rPr>
          <w:rFonts w:ascii="Arial" w:hAnsi="Arial" w:cs="Arial"/>
          <w:color w:val="333333"/>
        </w:rPr>
        <w:t> </w:t>
      </w:r>
    </w:p>
    <w:p w:rsidR="00B222BF" w:rsidRDefault="00B222BF" w:rsidP="00B222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При скрещивании гомозиготных особей, отличающихся по двум (или более) признакам, во втором поколении наблюдаются независимое наследование и комбинирование состояний признаков.</w:t>
      </w:r>
      <w:r>
        <w:rPr>
          <w:rFonts w:ascii="Arial" w:hAnsi="Arial" w:cs="Arial"/>
          <w:color w:val="333333"/>
        </w:rPr>
        <w:t> </w:t>
      </w:r>
    </w:p>
    <w:p w:rsidR="00B222BF" w:rsidRDefault="00B222BF" w:rsidP="00B222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возможно потому, что во время мейоза распределение (комбинирования) хромосом в половых клетках при их созревании идёт независимо и может привести к появлению потомства с комбинацией признаков, отличных от исходных сочетаний у </w:t>
      </w:r>
      <w:proofErr w:type="spellStart"/>
      <w:r>
        <w:rPr>
          <w:rFonts w:ascii="Arial" w:hAnsi="Arial" w:cs="Arial"/>
          <w:color w:val="333333"/>
        </w:rPr>
        <w:t>гомозигот</w:t>
      </w:r>
      <w:proofErr w:type="spellEnd"/>
      <w:r>
        <w:rPr>
          <w:rFonts w:ascii="Arial" w:hAnsi="Arial" w:cs="Arial"/>
          <w:color w:val="333333"/>
        </w:rPr>
        <w:t>. Новые возникающие комбинации называют неродительскими. </w:t>
      </w:r>
      <w:r>
        <w:rPr>
          <w:rFonts w:ascii="Arial" w:hAnsi="Arial" w:cs="Arial"/>
          <w:color w:val="333333"/>
        </w:rPr>
        <w:br/>
        <w:t xml:space="preserve">Для записи скрещиваний нередко используют специальные решётки, которые предложил английский генетик </w:t>
      </w:r>
      <w:proofErr w:type="spellStart"/>
      <w:r>
        <w:rPr>
          <w:rFonts w:ascii="Arial" w:hAnsi="Arial" w:cs="Arial"/>
          <w:color w:val="333333"/>
        </w:rPr>
        <w:t>Пеннет</w:t>
      </w:r>
      <w:proofErr w:type="spellEnd"/>
      <w:r>
        <w:rPr>
          <w:rFonts w:ascii="Arial" w:hAnsi="Arial" w:cs="Arial"/>
          <w:color w:val="333333"/>
        </w:rPr>
        <w:t xml:space="preserve"> (решётка </w:t>
      </w:r>
      <w:proofErr w:type="spellStart"/>
      <w:r>
        <w:rPr>
          <w:rFonts w:ascii="Arial" w:hAnsi="Arial" w:cs="Arial"/>
          <w:color w:val="333333"/>
        </w:rPr>
        <w:t>Пеннета</w:t>
      </w:r>
      <w:proofErr w:type="spellEnd"/>
      <w:r>
        <w:rPr>
          <w:rFonts w:ascii="Arial" w:hAnsi="Arial" w:cs="Arial"/>
          <w:color w:val="333333"/>
        </w:rPr>
        <w:t xml:space="preserve">). Ими удобно пользоваться при анализе </w:t>
      </w:r>
      <w:proofErr w:type="spellStart"/>
      <w:r>
        <w:rPr>
          <w:rFonts w:ascii="Arial" w:hAnsi="Arial" w:cs="Arial"/>
          <w:color w:val="333333"/>
        </w:rPr>
        <w:t>полигибридних</w:t>
      </w:r>
      <w:proofErr w:type="spellEnd"/>
      <w:r>
        <w:rPr>
          <w:rFonts w:ascii="Arial" w:hAnsi="Arial" w:cs="Arial"/>
          <w:color w:val="333333"/>
        </w:rPr>
        <w:t xml:space="preserve"> скрещиваний. Принцип построения решётки состоит в том, что сверху по горизонтали записывают гаметы отцовской особи, слева по вертикали — гаметы материнской особи, в местах пересечения — их сочетания, т.е. вероятные генотипы потомства.</w:t>
      </w:r>
    </w:p>
    <w:p w:rsidR="00C73A8D" w:rsidRDefault="00C73A8D">
      <w:bookmarkStart w:id="0" w:name="_GoBack"/>
      <w:bookmarkEnd w:id="0"/>
    </w:p>
    <w:sectPr w:rsidR="00C7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911"/>
    <w:multiLevelType w:val="multilevel"/>
    <w:tmpl w:val="0E70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42D3D"/>
    <w:multiLevelType w:val="multilevel"/>
    <w:tmpl w:val="966E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0466F"/>
    <w:multiLevelType w:val="multilevel"/>
    <w:tmpl w:val="9ED4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BF"/>
    <w:rsid w:val="00B040B9"/>
    <w:rsid w:val="00B222BF"/>
    <w:rsid w:val="00C73A8D"/>
    <w:rsid w:val="00D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2C09D-324D-43AD-B15C-5CFC76F0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BF"/>
    <w:rPr>
      <w:b/>
      <w:bCs/>
    </w:rPr>
  </w:style>
  <w:style w:type="paragraph" w:styleId="a4">
    <w:name w:val="Normal (Web)"/>
    <w:basedOn w:val="a"/>
    <w:uiPriority w:val="99"/>
    <w:semiHidden/>
    <w:unhideWhenUsed/>
    <w:rsid w:val="00B2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0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84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2084638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5031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0053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2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3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 Анатольевич</dc:creator>
  <cp:keywords/>
  <dc:description/>
  <cp:lastModifiedBy>Пронин Евгений Анатольевич</cp:lastModifiedBy>
  <cp:revision>1</cp:revision>
  <dcterms:created xsi:type="dcterms:W3CDTF">2020-04-17T17:05:00Z</dcterms:created>
  <dcterms:modified xsi:type="dcterms:W3CDTF">2020-04-17T17:07:00Z</dcterms:modified>
</cp:coreProperties>
</file>